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07"/>
        <w:rPr>
          <w:sz w:val="20"/>
        </w:rPr>
      </w:pPr>
      <w:r>
        <w:rPr/>
        <w:pict>
          <v:group style="position:absolute;margin-left:0pt;margin-top:21.597645pt;width:586.2pt;height:778.25pt;mso-position-horizontal-relative:page;mso-position-vertical-relative:page;z-index:-2608" coordorigin="0,432" coordsize="11724,15565">
            <v:shape style="position:absolute;left:0;top:431;width:11724;height:15565" type="#_x0000_t75" stroked="false">
              <v:imagedata r:id="rId5" o:title=""/>
            </v:shape>
            <v:shape style="position:absolute;left:1892;top:1581;width:8548;height:570" coordorigin="1892,1581" coordsize="8548,570" path="m10345,1581l1987,1581,1950,1588,1920,1609,1899,1639,1892,1676,1892,2056,1899,2093,1920,2123,1950,2144,1987,2151,10345,2151,10382,2144,10412,2123,10433,2093,10440,2056,10440,1676,10433,1639,10412,1609,10382,1588,10345,1581xe" filled="true" fillcolor="#c5d9f0" stroked="false">
              <v:path arrowok="t"/>
              <v:fill type="solid"/>
            </v:shape>
            <v:shape style="position:absolute;left:1892;top:1581;width:8548;height:570" coordorigin="1892,1581" coordsize="8548,570" path="m1987,1581l1950,1588,1920,1609,1899,1639,1892,1676,1892,2056,1899,2093,1920,2123,1950,2144,1987,2151,10345,2151,10382,2144,10412,2123,10433,2093,10440,2056,10440,1676,10433,1639,10412,1609,10382,1588,10345,1581,1987,1581xe" filled="false" stroked="true" strokeweight="1.5pt" strokecolor="#538dd3">
              <v:path arrowok="t"/>
              <v:stroke dashstyle="solid"/>
            </v:shape>
            <w10:wrap type="none"/>
          </v:group>
        </w:pict>
      </w:r>
      <w:r>
        <w:rPr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425.9pt;height:27pt;mso-position-horizontal-relative:char;mso-position-vertical-relative:line" type="#_x0000_t202" filled="false" stroked="false">
            <w10:anchorlock/>
            <v:textbox inset="0,0,0,0">
              <w:txbxContent>
                <w:p>
                  <w:pPr>
                    <w:spacing w:before="94"/>
                    <w:ind w:left="1153" w:right="0" w:firstLine="0"/>
                    <w:jc w:val="left"/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b/>
                      <w:sz w:val="24"/>
                    </w:rPr>
                    <w:t>CONVOCAÇÃO 60ª PLENÁRIA ORDINÁRIA DO CAU/PI</w:t>
                  </w:r>
                </w:p>
              </w:txbxContent>
            </v:textbox>
          </v:shape>
        </w:pict>
      </w:r>
      <w:r>
        <w:rPr>
          <w:sz w:val="20"/>
        </w:rPr>
      </w:r>
    </w:p>
    <w:p>
      <w:pPr>
        <w:pStyle w:val="BodyText"/>
        <w:spacing w:before="2"/>
        <w:rPr>
          <w:sz w:val="8"/>
        </w:rPr>
      </w:pPr>
    </w:p>
    <w:p>
      <w:pPr>
        <w:pStyle w:val="Heading1"/>
        <w:spacing w:line="240" w:lineRule="auto" w:before="92"/>
        <w:ind w:right="6530"/>
      </w:pPr>
      <w:r>
        <w:rPr/>
        <w:t>Data: 17 de janeiro de 2019. Horário: 17h</w:t>
      </w:r>
    </w:p>
    <w:p>
      <w:pPr>
        <w:spacing w:line="251" w:lineRule="exact" w:before="0"/>
        <w:ind w:left="102" w:right="0" w:firstLine="0"/>
        <w:jc w:val="left"/>
        <w:rPr>
          <w:b/>
          <w:sz w:val="22"/>
        </w:rPr>
      </w:pPr>
      <w:r>
        <w:rPr>
          <w:b/>
          <w:sz w:val="22"/>
        </w:rPr>
        <w:t>Local: Rua Areolino de Abreu, nº 2103, Centro.</w:t>
      </w:r>
    </w:p>
    <w:p>
      <w:pPr>
        <w:pStyle w:val="BodyText"/>
        <w:spacing w:before="7"/>
        <w:rPr>
          <w:b/>
          <w:sz w:val="21"/>
        </w:rPr>
      </w:pPr>
    </w:p>
    <w:p>
      <w:pPr>
        <w:pStyle w:val="BodyText"/>
        <w:ind w:left="102"/>
      </w:pPr>
      <w:r>
        <w:rPr/>
        <w:t>CONVOCA-SE os conselheiros titulares.</w:t>
      </w:r>
    </w:p>
    <w:p>
      <w:pPr>
        <w:pStyle w:val="Heading1"/>
        <w:spacing w:line="250" w:lineRule="exact" w:before="126"/>
      </w:pPr>
      <w:r>
        <w:rPr/>
        <w:t>PAUTA: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2" w:val="left" w:leader="none"/>
        </w:tabs>
        <w:spacing w:line="250" w:lineRule="exact" w:before="0" w:after="0"/>
        <w:ind w:left="102" w:right="0" w:firstLine="0"/>
        <w:jc w:val="left"/>
        <w:rPr>
          <w:sz w:val="22"/>
        </w:rPr>
      </w:pPr>
      <w:r>
        <w:rPr>
          <w:sz w:val="22"/>
        </w:rPr>
        <w:t>Verificação do</w:t>
      </w:r>
      <w:r>
        <w:rPr>
          <w:spacing w:val="-1"/>
          <w:sz w:val="22"/>
        </w:rPr>
        <w:t> </w:t>
      </w:r>
      <w:r>
        <w:rPr>
          <w:sz w:val="22"/>
        </w:rPr>
        <w:t>quórum;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2" w:val="left" w:leader="none"/>
        </w:tabs>
        <w:spacing w:line="252" w:lineRule="exact" w:before="0" w:after="0"/>
        <w:ind w:left="102" w:right="0" w:firstLine="0"/>
        <w:jc w:val="left"/>
        <w:rPr>
          <w:sz w:val="22"/>
        </w:rPr>
      </w:pPr>
      <w:r>
        <w:rPr>
          <w:sz w:val="22"/>
        </w:rPr>
        <w:t>Execução do Hino Nacional Brasileiro;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2" w:val="left" w:leader="none"/>
        </w:tabs>
        <w:spacing w:line="240" w:lineRule="auto" w:before="2" w:after="0"/>
        <w:ind w:left="102" w:right="452" w:firstLine="0"/>
        <w:jc w:val="left"/>
        <w:rPr>
          <w:sz w:val="22"/>
        </w:rPr>
      </w:pPr>
      <w:r>
        <w:rPr>
          <w:sz w:val="22"/>
        </w:rPr>
        <w:t>Discussão e aprovação da Ata da 59ª Plenária Ordinária do CAU/PI, realizada no dia 27 de novembro de</w:t>
      </w:r>
      <w:r>
        <w:rPr>
          <w:spacing w:val="-1"/>
          <w:sz w:val="22"/>
        </w:rPr>
        <w:t> </w:t>
      </w:r>
      <w:r>
        <w:rPr>
          <w:sz w:val="22"/>
        </w:rPr>
        <w:t>2018;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2" w:val="left" w:leader="none"/>
        </w:tabs>
        <w:spacing w:line="252" w:lineRule="exact" w:before="1" w:after="0"/>
        <w:ind w:left="102" w:right="0" w:firstLine="0"/>
        <w:jc w:val="left"/>
        <w:rPr>
          <w:sz w:val="22"/>
        </w:rPr>
      </w:pPr>
      <w:r>
        <w:rPr>
          <w:sz w:val="22"/>
        </w:rPr>
        <w:t>Ordem do</w:t>
      </w:r>
      <w:r>
        <w:rPr>
          <w:spacing w:val="-4"/>
          <w:sz w:val="22"/>
        </w:rPr>
        <w:t> </w:t>
      </w:r>
      <w:r>
        <w:rPr>
          <w:sz w:val="22"/>
        </w:rPr>
        <w:t>dia:</w:t>
      </w:r>
    </w:p>
    <w:p>
      <w:pPr>
        <w:pStyle w:val="ListParagraph"/>
        <w:numPr>
          <w:ilvl w:val="1"/>
          <w:numId w:val="1"/>
        </w:numPr>
        <w:tabs>
          <w:tab w:pos="1543" w:val="left" w:leader="none"/>
        </w:tabs>
        <w:spacing w:line="240" w:lineRule="auto" w:before="0" w:after="0"/>
        <w:ind w:left="1172" w:right="106" w:firstLine="0"/>
        <w:jc w:val="both"/>
        <w:rPr>
          <w:sz w:val="22"/>
        </w:rPr>
      </w:pPr>
      <w:r>
        <w:rPr>
          <w:sz w:val="22"/>
        </w:rPr>
        <w:t>Nomeação do Secretário da Comissão Eleitoral para eleição do vice-presidente e a composição das comissões: Comissão de Finanças, Atos Administrativos e Planejamento Estratégico ou II – Comissão de Ética, Ensino e Exercício Profissional e Comissão de Ética, Ensino e Exercício Profissional do</w:t>
      </w:r>
      <w:r>
        <w:rPr>
          <w:spacing w:val="-4"/>
          <w:sz w:val="22"/>
        </w:rPr>
        <w:t> </w:t>
      </w:r>
      <w:r>
        <w:rPr>
          <w:sz w:val="22"/>
        </w:rPr>
        <w:t>CAU/PI.</w:t>
      </w:r>
    </w:p>
    <w:p>
      <w:pPr>
        <w:pStyle w:val="BodyText"/>
        <w:spacing w:before="120"/>
        <w:ind w:left="1172" w:right="106"/>
        <w:jc w:val="both"/>
      </w:pPr>
      <w:r>
        <w:rPr/>
        <w:t>4.2 Composição das Comissões: Será entregue uma cédula para cada um dos 6 (seis) conselheiros titulares, em que colocarão seu nome e escolherão entre as Comissões: I – Comissão de Finanças, Atos Administrativos e Planejamento Estratégico ou II – Comissão de Ética, Ensino e Exercício Profissional, havendo mais de 3 (três) interessados por uma comissão, será realizada votação para decisão dos componentes da comissão, com base no Art. 27 do Regimento Interno do CAU/PI.</w:t>
      </w:r>
    </w:p>
    <w:p>
      <w:pPr>
        <w:pStyle w:val="ListParagraph"/>
        <w:numPr>
          <w:ilvl w:val="2"/>
          <w:numId w:val="2"/>
        </w:numPr>
        <w:tabs>
          <w:tab w:pos="2015" w:val="left" w:leader="none"/>
        </w:tabs>
        <w:spacing w:line="240" w:lineRule="auto" w:before="119" w:after="0"/>
        <w:ind w:left="2014" w:right="0" w:hanging="496"/>
        <w:jc w:val="left"/>
        <w:rPr>
          <w:sz w:val="22"/>
        </w:rPr>
      </w:pPr>
      <w:r>
        <w:rPr>
          <w:sz w:val="22"/>
        </w:rPr>
        <w:t>Inscrições;</w:t>
      </w:r>
    </w:p>
    <w:p>
      <w:pPr>
        <w:pStyle w:val="ListParagraph"/>
        <w:numPr>
          <w:ilvl w:val="2"/>
          <w:numId w:val="2"/>
        </w:numPr>
        <w:tabs>
          <w:tab w:pos="2013" w:val="left" w:leader="none"/>
        </w:tabs>
        <w:spacing w:line="240" w:lineRule="auto" w:before="122" w:after="0"/>
        <w:ind w:left="2012" w:right="0" w:hanging="494"/>
        <w:jc w:val="left"/>
        <w:rPr>
          <w:sz w:val="22"/>
        </w:rPr>
      </w:pPr>
      <w:r>
        <w:rPr>
          <w:sz w:val="22"/>
        </w:rPr>
        <w:t>Votação (caso haja mais de 3 conselheiros inscritos para uma mesma</w:t>
      </w:r>
      <w:r>
        <w:rPr>
          <w:spacing w:val="-14"/>
          <w:sz w:val="22"/>
        </w:rPr>
        <w:t> </w:t>
      </w:r>
      <w:r>
        <w:rPr>
          <w:sz w:val="22"/>
        </w:rPr>
        <w:t>comissão);</w:t>
      </w:r>
    </w:p>
    <w:p>
      <w:pPr>
        <w:pStyle w:val="ListParagraph"/>
        <w:numPr>
          <w:ilvl w:val="2"/>
          <w:numId w:val="2"/>
        </w:numPr>
        <w:tabs>
          <w:tab w:pos="2262" w:val="left" w:leader="none"/>
          <w:tab w:pos="2263" w:val="left" w:leader="none"/>
        </w:tabs>
        <w:spacing w:line="252" w:lineRule="exact" w:before="119" w:after="0"/>
        <w:ind w:left="2262" w:right="0" w:hanging="742"/>
        <w:jc w:val="left"/>
        <w:rPr>
          <w:sz w:val="22"/>
        </w:rPr>
      </w:pPr>
      <w:r>
        <w:rPr>
          <w:sz w:val="22"/>
        </w:rPr>
        <w:t>Reuniões para indicação dos</w:t>
      </w:r>
      <w:r>
        <w:rPr>
          <w:spacing w:val="-3"/>
          <w:sz w:val="22"/>
        </w:rPr>
        <w:t> </w:t>
      </w:r>
      <w:r>
        <w:rPr>
          <w:sz w:val="22"/>
        </w:rPr>
        <w:t>coordenadores;</w:t>
      </w:r>
    </w:p>
    <w:p>
      <w:pPr>
        <w:pStyle w:val="ListParagraph"/>
        <w:numPr>
          <w:ilvl w:val="2"/>
          <w:numId w:val="2"/>
        </w:numPr>
        <w:tabs>
          <w:tab w:pos="2262" w:val="left" w:leader="none"/>
          <w:tab w:pos="2263" w:val="left" w:leader="none"/>
        </w:tabs>
        <w:spacing w:line="252" w:lineRule="exact" w:before="0" w:after="0"/>
        <w:ind w:left="2262" w:right="0" w:hanging="742"/>
        <w:jc w:val="left"/>
        <w:rPr>
          <w:sz w:val="22"/>
        </w:rPr>
      </w:pPr>
      <w:r>
        <w:rPr>
          <w:sz w:val="22"/>
        </w:rPr>
        <w:t>Homologação pelo</w:t>
      </w:r>
      <w:r>
        <w:rPr>
          <w:spacing w:val="-1"/>
          <w:sz w:val="22"/>
        </w:rPr>
        <w:t> </w:t>
      </w:r>
      <w:r>
        <w:rPr>
          <w:sz w:val="22"/>
        </w:rPr>
        <w:t>Plenário.</w:t>
      </w:r>
    </w:p>
    <w:p>
      <w:pPr>
        <w:pStyle w:val="ListParagraph"/>
        <w:numPr>
          <w:ilvl w:val="1"/>
          <w:numId w:val="2"/>
        </w:numPr>
        <w:tabs>
          <w:tab w:pos="1581" w:val="left" w:leader="none"/>
        </w:tabs>
        <w:spacing w:line="240" w:lineRule="auto" w:before="121" w:after="0"/>
        <w:ind w:left="1234" w:right="108" w:hanging="62"/>
        <w:jc w:val="both"/>
        <w:rPr>
          <w:sz w:val="22"/>
        </w:rPr>
      </w:pPr>
      <w:r>
        <w:rPr>
          <w:sz w:val="22"/>
        </w:rPr>
        <w:t>Eleição do Vice-Presidente do CAU/PI, de acordo com o §1º do Art. 56º </w:t>
      </w:r>
      <w:r>
        <w:rPr>
          <w:spacing w:val="-3"/>
          <w:sz w:val="22"/>
        </w:rPr>
        <w:t>do </w:t>
      </w:r>
      <w:r>
        <w:rPr>
          <w:sz w:val="22"/>
        </w:rPr>
        <w:t>Regimento Interno do CAU/PI, “A eleição a que se refere o caput será realizada por meio de votação secreta dos conselheiros estaduais, que elegerão o vice-presidente do CAU/PI entre os coordenadores das comissões ordinárias que se candidatarem ao cargo, sendo eleito para o cargo de vice-presidente pela ordem decrescente de</w:t>
      </w:r>
      <w:r>
        <w:rPr>
          <w:spacing w:val="-13"/>
          <w:sz w:val="22"/>
        </w:rPr>
        <w:t> </w:t>
      </w:r>
      <w:r>
        <w:rPr>
          <w:sz w:val="22"/>
        </w:rPr>
        <w:t>votos”.</w:t>
      </w:r>
    </w:p>
    <w:p>
      <w:pPr>
        <w:pStyle w:val="ListParagraph"/>
        <w:numPr>
          <w:ilvl w:val="2"/>
          <w:numId w:val="2"/>
        </w:numPr>
        <w:tabs>
          <w:tab w:pos="2016" w:val="left" w:leader="none"/>
        </w:tabs>
        <w:spacing w:line="240" w:lineRule="auto" w:before="121" w:after="0"/>
        <w:ind w:left="2015" w:right="0" w:hanging="497"/>
        <w:jc w:val="left"/>
        <w:rPr>
          <w:sz w:val="22"/>
        </w:rPr>
      </w:pPr>
      <w:r>
        <w:rPr>
          <w:sz w:val="22"/>
        </w:rPr>
        <w:t>Eleição;</w:t>
      </w:r>
    </w:p>
    <w:p>
      <w:pPr>
        <w:pStyle w:val="ListParagraph"/>
        <w:numPr>
          <w:ilvl w:val="2"/>
          <w:numId w:val="2"/>
        </w:numPr>
        <w:tabs>
          <w:tab w:pos="2040" w:val="left" w:leader="none"/>
        </w:tabs>
        <w:spacing w:line="240" w:lineRule="auto" w:before="119" w:after="0"/>
        <w:ind w:left="2039" w:right="0" w:hanging="497"/>
        <w:jc w:val="left"/>
        <w:rPr>
          <w:sz w:val="22"/>
        </w:rPr>
      </w:pPr>
      <w:r>
        <w:rPr>
          <w:sz w:val="22"/>
        </w:rPr>
        <w:t>Posse.</w:t>
      </w:r>
    </w:p>
    <w:p>
      <w:pPr>
        <w:pStyle w:val="ListParagraph"/>
        <w:numPr>
          <w:ilvl w:val="1"/>
          <w:numId w:val="2"/>
        </w:numPr>
        <w:tabs>
          <w:tab w:pos="1670" w:val="left" w:leader="none"/>
        </w:tabs>
        <w:spacing w:line="240" w:lineRule="auto" w:before="121" w:after="0"/>
        <w:ind w:left="1662" w:right="106" w:hanging="428"/>
        <w:jc w:val="left"/>
        <w:rPr>
          <w:sz w:val="22"/>
        </w:rPr>
      </w:pPr>
      <w:r>
        <w:rPr>
          <w:sz w:val="22"/>
        </w:rPr>
        <w:t>Composição da comissão especial: Política Profissional e Política Urbana e Ambiental, com base no Art. 29 e 30 do Regimento Interno do</w:t>
      </w:r>
      <w:r>
        <w:rPr>
          <w:spacing w:val="-12"/>
          <w:sz w:val="22"/>
        </w:rPr>
        <w:t> </w:t>
      </w:r>
      <w:r>
        <w:rPr>
          <w:sz w:val="22"/>
        </w:rPr>
        <w:t>CAU/PI.</w:t>
      </w:r>
    </w:p>
    <w:p>
      <w:pPr>
        <w:pStyle w:val="ListParagraph"/>
        <w:numPr>
          <w:ilvl w:val="1"/>
          <w:numId w:val="2"/>
        </w:numPr>
        <w:tabs>
          <w:tab w:pos="1567" w:val="left" w:leader="none"/>
        </w:tabs>
        <w:spacing w:line="240" w:lineRule="auto" w:before="118" w:after="0"/>
        <w:ind w:left="1566" w:right="0" w:hanging="332"/>
        <w:jc w:val="left"/>
        <w:rPr>
          <w:sz w:val="22"/>
        </w:rPr>
      </w:pPr>
      <w:r>
        <w:rPr>
          <w:sz w:val="22"/>
        </w:rPr>
        <w:t>Aprovação do calendário de Reuniões Ordinárias do CAU/PI para o ano de</w:t>
      </w:r>
      <w:r>
        <w:rPr>
          <w:spacing w:val="-11"/>
          <w:sz w:val="22"/>
        </w:rPr>
        <w:t> </w:t>
      </w:r>
      <w:r>
        <w:rPr>
          <w:sz w:val="22"/>
        </w:rPr>
        <w:t>2019;</w:t>
      </w:r>
    </w:p>
    <w:p>
      <w:pPr>
        <w:pStyle w:val="ListParagraph"/>
        <w:numPr>
          <w:ilvl w:val="0"/>
          <w:numId w:val="1"/>
        </w:numPr>
        <w:tabs>
          <w:tab w:pos="1535" w:val="left" w:leader="none"/>
        </w:tabs>
        <w:spacing w:line="240" w:lineRule="auto" w:before="122" w:after="0"/>
        <w:ind w:left="1234" w:right="113" w:firstLine="0"/>
        <w:jc w:val="both"/>
        <w:rPr>
          <w:sz w:val="22"/>
        </w:rPr>
      </w:pPr>
      <w:r>
        <w:rPr>
          <w:sz w:val="22"/>
        </w:rPr>
        <w:t>Manifestação dos Conselheiros em assuntos de interesse do Plenário, conforme inscrição previamente efetuada na mesa diretora de</w:t>
      </w:r>
      <w:r>
        <w:rPr>
          <w:spacing w:val="-4"/>
          <w:sz w:val="22"/>
        </w:rPr>
        <w:t> </w:t>
      </w:r>
      <w:r>
        <w:rPr>
          <w:sz w:val="22"/>
        </w:rPr>
        <w:t>trabalho;</w:t>
      </w:r>
    </w:p>
    <w:p>
      <w:pPr>
        <w:pStyle w:val="BodyText"/>
        <w:spacing w:before="120"/>
        <w:ind w:right="106"/>
        <w:jc w:val="right"/>
      </w:pPr>
      <w:r>
        <w:rPr/>
        <w:t>Teresina, 10 de janeiro de 2019.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28"/>
        </w:rPr>
      </w:pPr>
    </w:p>
    <w:p>
      <w:pPr>
        <w:pStyle w:val="Heading1"/>
        <w:ind w:left="3993" w:right="3281"/>
        <w:jc w:val="center"/>
      </w:pPr>
      <w:r>
        <w:rPr/>
        <w:t>Wellington</w:t>
      </w:r>
      <w:r>
        <w:rPr>
          <w:spacing w:val="-6"/>
        </w:rPr>
        <w:t> </w:t>
      </w:r>
      <w:r>
        <w:rPr/>
        <w:t>Camarço</w:t>
      </w:r>
    </w:p>
    <w:p>
      <w:pPr>
        <w:pStyle w:val="BodyText"/>
        <w:spacing w:line="251" w:lineRule="exact"/>
        <w:ind w:left="3993" w:right="3283"/>
        <w:jc w:val="center"/>
      </w:pPr>
      <w:r>
        <w:rPr/>
        <w:t>Presidente do</w:t>
      </w:r>
      <w:r>
        <w:rPr>
          <w:spacing w:val="-5"/>
        </w:rPr>
        <w:t> </w:t>
      </w:r>
      <w:r>
        <w:rPr/>
        <w:t>CAU/PI</w:t>
      </w:r>
    </w:p>
    <w:sectPr>
      <w:type w:val="continuous"/>
      <w:pgSz w:w="11900" w:h="16850"/>
      <w:pgMar w:top="1600" w:bottom="280" w:left="16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4"/>
      <w:numFmt w:val="decimal"/>
      <w:lvlText w:val="%1"/>
      <w:lvlJc w:val="left"/>
      <w:pPr>
        <w:ind w:left="2014" w:hanging="497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1234" w:hanging="497"/>
        <w:jc w:val="right"/>
      </w:pPr>
      <w:rPr>
        <w:rFonts w:hint="default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2015" w:hanging="498"/>
        <w:jc w:val="left"/>
      </w:pPr>
      <w:rPr>
        <w:rFonts w:hint="default"/>
        <w:b/>
        <w:bCs/>
        <w:w w:val="100"/>
        <w:lang w:val="pt-br" w:eastAsia="pt-br" w:bidi="pt-br"/>
      </w:rPr>
    </w:lvl>
    <w:lvl w:ilvl="3">
      <w:start w:val="0"/>
      <w:numFmt w:val="bullet"/>
      <w:lvlText w:val="•"/>
      <w:lvlJc w:val="left"/>
      <w:pPr>
        <w:ind w:left="3633" w:hanging="498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4439" w:hanging="498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5246" w:hanging="498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6052" w:hanging="498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6859" w:hanging="498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7666" w:hanging="498"/>
      </w:pPr>
      <w:rPr>
        <w:rFonts w:hint="default"/>
        <w:lang w:val="pt-br" w:eastAsia="pt-br" w:bidi="pt-br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02" w:hanging="720"/>
        <w:jc w:val="right"/>
      </w:pPr>
      <w:rPr>
        <w:rFonts w:hint="default"/>
        <w:w w:val="100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172" w:hanging="371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t-br" w:eastAsia="pt-br" w:bidi="pt-br"/>
      </w:rPr>
    </w:lvl>
    <w:lvl w:ilvl="2">
      <w:start w:val="0"/>
      <w:numFmt w:val="bullet"/>
      <w:lvlText w:val="•"/>
      <w:lvlJc w:val="left"/>
      <w:pPr>
        <w:ind w:left="2079" w:hanging="371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2979" w:hanging="371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3879" w:hanging="371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4779" w:hanging="371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5679" w:hanging="371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6579" w:hanging="371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7479" w:hanging="371"/>
      </w:pPr>
      <w:rPr>
        <w:rFonts w:hint="default"/>
        <w:lang w:val="pt-br" w:eastAsia="pt-br" w:bidi="pt-br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br" w:eastAsia="pt-br" w:bidi="pt-br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pt-br" w:eastAsia="pt-br" w:bidi="pt-br"/>
    </w:rPr>
  </w:style>
  <w:style w:styleId="Heading1" w:type="paragraph">
    <w:name w:val="Heading 1"/>
    <w:basedOn w:val="Normal"/>
    <w:uiPriority w:val="1"/>
    <w:qFormat/>
    <w:pPr>
      <w:spacing w:line="251" w:lineRule="exact"/>
      <w:ind w:left="102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pt-br" w:eastAsia="pt-br" w:bidi="pt-br"/>
    </w:rPr>
  </w:style>
  <w:style w:styleId="ListParagraph" w:type="paragraph">
    <w:name w:val="List Paragraph"/>
    <w:basedOn w:val="Normal"/>
    <w:uiPriority w:val="1"/>
    <w:qFormat/>
    <w:pPr>
      <w:ind w:left="102"/>
    </w:pPr>
    <w:rPr>
      <w:rFonts w:ascii="Times New Roman" w:hAnsi="Times New Roman" w:eastAsia="Times New Roman" w:cs="Times New Roman"/>
      <w:lang w:val="pt-br" w:eastAsia="pt-br" w:bidi="pt-br"/>
    </w:rPr>
  </w:style>
  <w:style w:styleId="TableParagraph" w:type="paragraph">
    <w:name w:val="Table Paragraph"/>
    <w:basedOn w:val="Normal"/>
    <w:uiPriority w:val="1"/>
    <w:qFormat/>
    <w:pPr/>
    <w:rPr>
      <w:lang w:val="pt-br" w:eastAsia="pt-br" w:bidi="pt-b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dcterms:created xsi:type="dcterms:W3CDTF">2019-07-22T12:51:30Z</dcterms:created>
  <dcterms:modified xsi:type="dcterms:W3CDTF">2019-07-22T12:51:30Z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2019-07-22T00:00:00Z</vt:filetime>
  </property>
</Properties>
</file>